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bidi w:val="0"/>
        <w:spacing w:lineRule="atLeast" w:line="100" w:beforeAutospacing="1" w:afterAutospacing="1"/>
        <w:ind w:hanging="0" w:left="0" w:right="0"/>
        <w:jc w:val="center"/>
        <w:rPr/>
      </w:pPr>
      <w:r>
        <w:rPr>
          <w:b/>
          <w:bCs/>
          <w:color w:val="000000"/>
          <w:sz w:val="24"/>
          <w:szCs w:val="24"/>
          <w:lang w:eastAsia="cs-CZ"/>
        </w:rPr>
        <w:br/>
      </w:r>
      <w:r>
        <w:rPr>
          <w:rStyle w:val="Strong"/>
          <w:rFonts w:eastAsia="Times New Roman" w:cs="Calibri"/>
          <w:sz w:val="24"/>
          <w:szCs w:val="24"/>
          <w:lang w:val="cs-CZ" w:eastAsia="cs-CZ" w:bidi="ar-SA"/>
        </w:rPr>
        <w:t>ČESTNÉ PROHLÁŠENÍ</w:t>
      </w:r>
    </w:p>
    <w:p>
      <w:pPr>
        <w:pStyle w:val="NormalWeb"/>
        <w:bidi w:val="0"/>
        <w:spacing w:beforeAutospacing="1" w:afterAutospacing="1"/>
        <w:ind w:hanging="0" w:left="0" w:right="0"/>
        <w:jc w:val="center"/>
        <w:rPr>
          <w:rStyle w:val="Strong"/>
          <w:rFonts w:eastAsia="Times New Roman" w:cs="Calibri"/>
          <w:sz w:val="24"/>
          <w:szCs w:val="24"/>
          <w:lang w:val="cs-CZ" w:eastAsia="cs-CZ" w:bidi="ar-SA"/>
        </w:rPr>
      </w:pPr>
      <w:r>
        <w:rPr>
          <w:rFonts w:eastAsia="Times New Roman" w:cs="Calibri"/>
          <w:sz w:val="24"/>
          <w:szCs w:val="24"/>
          <w:lang w:val="cs-CZ" w:eastAsia="cs-CZ" w:bidi="ar-SA"/>
        </w:rPr>
      </w:r>
    </w:p>
    <w:p>
      <w:pPr>
        <w:pStyle w:val="Normal"/>
        <w:bidi w:val="0"/>
        <w:spacing w:lineRule="atLeast" w:line="100" w:before="0" w:after="0"/>
        <w:jc w:val="center"/>
        <w:rPr>
          <w:rFonts w:ascii="Calibri" w:hAnsi="Calibri"/>
        </w:rPr>
      </w:pPr>
      <w:r>
        <w:rPr/>
      </w:r>
    </w:p>
    <w:p>
      <w:pPr>
        <w:pStyle w:val="NormalWeb"/>
        <w:bidi w:val="0"/>
        <w:spacing w:lineRule="atLeast" w:line="100" w:before="223" w:after="223"/>
        <w:ind w:hanging="0" w:left="0" w:right="0"/>
        <w:jc w:val="both"/>
        <w:rPr>
          <w:rFonts w:ascii="Calibri" w:hAnsi="Calibri"/>
        </w:rPr>
      </w:pPr>
      <w:r>
        <w:rPr>
          <w:rFonts w:eastAsia="Calibri" w:cs="Calibri"/>
          <w:b/>
          <w:bCs/>
          <w:color w:val="00000A"/>
          <w:kern w:val="2"/>
          <w:sz w:val="22"/>
          <w:szCs w:val="22"/>
          <w:shd w:fill="auto" w:val="clear"/>
          <w:lang w:val="cs-CZ" w:eastAsia="cs-CZ" w:bidi="ar-SA"/>
        </w:rPr>
        <w:t>.……………….,</w:t>
      </w:r>
      <w:r>
        <w:rPr>
          <w:rFonts w:eastAsia="Calibri" w:cs="Calibri"/>
          <w:color w:val="00000A"/>
          <w:kern w:val="2"/>
          <w:sz w:val="22"/>
          <w:szCs w:val="22"/>
          <w:shd w:fill="auto" w:val="clear"/>
          <w:lang w:val="cs-CZ" w:eastAsia="cs-CZ" w:bidi="ar-SA"/>
        </w:rPr>
        <w:t xml:space="preserve"> nar. ..……………..., bytem </w:t>
      </w:r>
      <w:r>
        <w:rPr>
          <w:rFonts w:eastAsia="Calibri" w:cs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cs-CZ" w:eastAsia="en-US" w:bidi="ar-SA"/>
        </w:rPr>
        <w:t>…………………………….</w:t>
      </w:r>
      <w:r>
        <w:rPr>
          <w:rFonts w:eastAsia="Calibri" w:cs="Calibri"/>
          <w:color w:val="00000A"/>
          <w:kern w:val="2"/>
          <w:sz w:val="22"/>
          <w:szCs w:val="22"/>
          <w:shd w:fill="auto" w:val="clear"/>
          <w:lang w:val="cs-CZ" w:eastAsia="cs-CZ" w:bidi="ar-SA"/>
        </w:rPr>
        <w:t>,</w:t>
      </w:r>
      <w:r>
        <w:rPr>
          <w:rFonts w:eastAsia="Calibri" w:cs="Calibri"/>
          <w:color w:val="00000A"/>
          <w:kern w:val="2"/>
          <w:sz w:val="22"/>
          <w:szCs w:val="22"/>
          <w:shd w:fill="auto" w:val="clear"/>
          <w:lang w:val="cs-CZ" w:eastAsia="en-US" w:bidi="ar-SA"/>
        </w:rPr>
        <w:t xml:space="preserve"> </w:t>
      </w:r>
    </w:p>
    <w:p>
      <w:pPr>
        <w:pStyle w:val="NormalWeb"/>
        <w:bidi w:val="0"/>
        <w:spacing w:lineRule="atLeast" w:line="100" w:before="223" w:after="223"/>
        <w:ind w:hanging="0" w:left="0" w:right="0"/>
        <w:jc w:val="both"/>
        <w:rPr>
          <w:color w:val="5983B0"/>
        </w:rPr>
      </w:pPr>
      <w:r>
        <w:rPr>
          <w:rFonts w:eastAsia="Calibri" w:cs="Calibri"/>
          <w:b/>
          <w:bCs/>
          <w:color w:val="5983B0"/>
          <w:kern w:val="2"/>
          <w:sz w:val="22"/>
          <w:szCs w:val="22"/>
          <w:shd w:fill="auto" w:val="clear"/>
          <w:lang w:val="cs-CZ" w:eastAsia="cs-CZ" w:bidi="ar-SA"/>
        </w:rPr>
        <w:t>.……………….,</w:t>
      </w:r>
      <w:r>
        <w:rPr>
          <w:rFonts w:eastAsia="Calibri" w:cs="Calibri"/>
          <w:color w:val="5983B0"/>
          <w:kern w:val="2"/>
          <w:sz w:val="22"/>
          <w:szCs w:val="22"/>
          <w:shd w:fill="auto" w:val="clear"/>
          <w:lang w:val="cs-CZ" w:eastAsia="cs-CZ" w:bidi="ar-SA"/>
        </w:rPr>
        <w:t xml:space="preserve"> nar. ..……………..., bytem </w:t>
      </w:r>
      <w:r>
        <w:rPr>
          <w:rFonts w:eastAsia="Calibri" w:cs="Times New Roman"/>
          <w:b w:val="false"/>
          <w:bCs w:val="false"/>
          <w:color w:val="5983B0"/>
          <w:kern w:val="0"/>
          <w:sz w:val="22"/>
          <w:szCs w:val="22"/>
          <w:shd w:fill="auto" w:val="clear"/>
          <w:lang w:val="cs-CZ" w:eastAsia="en-US" w:bidi="ar-SA"/>
        </w:rPr>
        <w:t>…………………………….</w:t>
      </w:r>
      <w:r>
        <w:rPr>
          <w:rFonts w:eastAsia="Calibri" w:cs="Calibri"/>
          <w:color w:val="5983B0"/>
          <w:kern w:val="2"/>
          <w:sz w:val="22"/>
          <w:szCs w:val="22"/>
          <w:shd w:fill="auto" w:val="clear"/>
          <w:lang w:val="cs-CZ" w:eastAsia="cs-CZ" w:bidi="ar-SA"/>
        </w:rPr>
        <w:t>,</w:t>
      </w:r>
      <w:r>
        <w:rPr>
          <w:rFonts w:eastAsia="Calibri" w:cs="Calibri"/>
          <w:color w:val="5983B0"/>
          <w:kern w:val="2"/>
          <w:sz w:val="22"/>
          <w:szCs w:val="22"/>
          <w:shd w:fill="auto" w:val="clear"/>
          <w:lang w:val="cs-CZ" w:eastAsia="en-US" w:bidi="ar-SA"/>
        </w:rPr>
        <w:t xml:space="preserve"> </w:t>
      </w:r>
    </w:p>
    <w:p>
      <w:pPr>
        <w:pStyle w:val="NormalWeb"/>
        <w:bidi w:val="0"/>
        <w:spacing w:lineRule="atLeast" w:line="100" w:before="223" w:after="223"/>
        <w:ind w:hanging="0" w:left="0" w:right="0"/>
        <w:jc w:val="both"/>
        <w:rPr>
          <w:rFonts w:ascii="Calibri" w:hAnsi="Calibri"/>
        </w:rPr>
      </w:pPr>
      <w:r>
        <w:rPr/>
      </w:r>
    </w:p>
    <w:p>
      <w:pPr>
        <w:pStyle w:val="NormalWeb"/>
        <w:bidi w:val="0"/>
        <w:spacing w:lineRule="atLeast" w:line="100" w:before="223" w:after="223"/>
        <w:ind w:hanging="0" w:left="0" w:right="0"/>
        <w:jc w:val="both"/>
        <w:rPr>
          <w:rFonts w:ascii="Calibri" w:hAnsi="Calibri"/>
        </w:rPr>
      </w:pPr>
      <w:r>
        <w:rPr>
          <w:rFonts w:eastAsia="Calibri" w:cs="Calibri"/>
          <w:color w:val="00000A"/>
          <w:kern w:val="2"/>
          <w:sz w:val="22"/>
          <w:szCs w:val="22"/>
          <w:shd w:fill="auto" w:val="clear"/>
          <w:lang w:val="cs-CZ" w:eastAsia="en-US" w:bidi="ar-SA"/>
        </w:rPr>
        <w:t>v souvisl</w:t>
      </w:r>
      <w:r>
        <w:rPr>
          <w:rFonts w:eastAsia="Calibri" w:cs="Calibri"/>
          <w:b w:val="false"/>
          <w:bCs w:val="false"/>
          <w:color w:val="00000A"/>
          <w:kern w:val="2"/>
          <w:sz w:val="22"/>
          <w:szCs w:val="22"/>
          <w:shd w:fill="auto" w:val="clear"/>
          <w:lang w:val="cs-CZ" w:eastAsia="en-US" w:bidi="ar-SA"/>
        </w:rPr>
        <w:t xml:space="preserve">osti s podáním žádosti o poskytnutí dotace z programu „Nová zelená úsporám pro bytové domy“ jako </w:t>
      </w:r>
      <w:r>
        <w:rPr>
          <w:rFonts w:eastAsia="Calibri" w:cs="Calibri"/>
          <w:b w:val="false"/>
          <w:bCs w:val="false"/>
          <w:color w:val="000000"/>
          <w:kern w:val="2"/>
          <w:sz w:val="22"/>
          <w:szCs w:val="22"/>
          <w:shd w:fill="auto" w:val="clear"/>
          <w:lang w:val="cs-CZ" w:eastAsia="en-US" w:bidi="ar-SA"/>
        </w:rPr>
        <w:t>vlastní</w:t>
      </w:r>
      <w:r>
        <w:rPr>
          <w:rFonts w:eastAsia="Calibri" w:cs="Calibri"/>
          <w:b w:val="false"/>
          <w:bCs w:val="false"/>
          <w:color w:val="3465A4"/>
          <w:kern w:val="2"/>
          <w:sz w:val="22"/>
          <w:szCs w:val="22"/>
          <w:shd w:fill="auto" w:val="clear"/>
          <w:lang w:val="cs-CZ" w:eastAsia="en-US" w:bidi="ar-SA"/>
        </w:rPr>
        <w:t>k/ci</w:t>
      </w:r>
      <w:r>
        <w:rPr>
          <w:rFonts w:eastAsia="Calibri" w:cs="Calibri"/>
          <w:b w:val="false"/>
          <w:bCs w:val="false"/>
          <w:color w:val="00000A"/>
          <w:kern w:val="2"/>
          <w:sz w:val="22"/>
          <w:szCs w:val="22"/>
          <w:shd w:fill="auto" w:val="clear"/>
          <w:lang w:val="cs-CZ" w:eastAsia="en-US" w:bidi="ar-SA"/>
        </w:rPr>
        <w:t xml:space="preserve"> družstevního podílu, s nímž je spojen nájem jednotky </w:t>
      </w:r>
      <w:r>
        <w:rPr>
          <w:rFonts w:eastAsia="Times New Roman" w:cs="Arial"/>
          <w:b w:val="false"/>
          <w:bCs w:val="false"/>
          <w:color w:val="000000"/>
          <w:kern w:val="2"/>
          <w:sz w:val="22"/>
          <w:szCs w:val="22"/>
          <w:shd w:fill="auto" w:val="clear"/>
          <w:lang w:val="cs-CZ" w:eastAsia="cs-CZ" w:bidi="ar-SA"/>
        </w:rPr>
        <w:t xml:space="preserve">č. </w:t>
      </w:r>
      <w:r>
        <w:rPr>
          <w:rFonts w:eastAsia="Times New Roman" w:cs="Arial"/>
          <w:b w:val="false"/>
          <w:bCs w:val="false"/>
          <w:color w:val="000000"/>
          <w:kern w:val="0"/>
          <w:sz w:val="22"/>
          <w:szCs w:val="22"/>
          <w:shd w:fill="auto" w:val="clear"/>
          <w:lang w:val="cs-CZ" w:eastAsia="cs-CZ" w:bidi="ar-SA"/>
        </w:rPr>
        <w:t>…..</w:t>
      </w:r>
      <w:r>
        <w:rPr>
          <w:rFonts w:eastAsia="Calibri" w:cs="Arial"/>
          <w:b w:val="false"/>
          <w:bCs w:val="false"/>
          <w:color w:val="00000A"/>
          <w:kern w:val="2"/>
          <w:sz w:val="22"/>
          <w:szCs w:val="22"/>
          <w:shd w:fill="auto" w:val="clear"/>
          <w:lang w:val="cs-CZ" w:eastAsia="en-US" w:bidi="ar-SA"/>
        </w:rPr>
        <w:t>, o velikosti</w:t>
      </w:r>
      <w:r>
        <w:rPr>
          <w:rFonts w:eastAsia="Times New Roman" w:cs="Arial"/>
          <w:b w:val="false"/>
          <w:bCs w:val="false"/>
          <w:color w:val="000000"/>
          <w:kern w:val="2"/>
          <w:sz w:val="22"/>
          <w:szCs w:val="22"/>
          <w:shd w:fill="auto" w:val="clear"/>
          <w:lang w:val="cs-CZ" w:eastAsia="cs-CZ" w:bidi="ar-SA"/>
        </w:rPr>
        <w:t xml:space="preserve"> …..</w:t>
      </w:r>
      <w:r>
        <w:rPr>
          <w:rFonts w:eastAsia="Calibri" w:cs="Arial"/>
          <w:b w:val="false"/>
          <w:bCs w:val="false"/>
          <w:color w:val="00000A"/>
          <w:kern w:val="2"/>
          <w:sz w:val="22"/>
          <w:szCs w:val="22"/>
          <w:shd w:fill="auto" w:val="clear"/>
          <w:lang w:val="cs-CZ" w:eastAsia="en-US" w:bidi="ar-SA"/>
        </w:rPr>
        <w:t xml:space="preserve"> </w:t>
      </w:r>
      <w:r>
        <w:rPr>
          <w:rFonts w:eastAsia="Calibri" w:cs="Calibri"/>
          <w:b w:val="false"/>
          <w:bCs w:val="false"/>
          <w:color w:val="00000A"/>
          <w:kern w:val="2"/>
          <w:sz w:val="22"/>
          <w:szCs w:val="22"/>
          <w:shd w:fill="auto" w:val="clear"/>
          <w:lang w:val="cs-CZ" w:eastAsia="en-US" w:bidi="ar-SA"/>
        </w:rPr>
        <w:t xml:space="preserve">, </w:t>
      </w:r>
      <w:r>
        <w:rPr>
          <w:rFonts w:eastAsia="Calibri" w:cs="Arial"/>
          <w:b w:val="false"/>
          <w:bCs w:val="false"/>
          <w:color w:val="00000A"/>
          <w:kern w:val="2"/>
          <w:sz w:val="22"/>
          <w:szCs w:val="22"/>
          <w:shd w:fill="auto" w:val="clear"/>
          <w:lang w:val="cs-CZ" w:eastAsia="en-US" w:bidi="ar-SA"/>
        </w:rPr>
        <w:t xml:space="preserve">nacházející se v budově č. p. </w:t>
      </w:r>
      <w:r>
        <w:rPr>
          <w:rFonts w:eastAsia="Times New Roman" w:cs="Arial"/>
          <w:b w:val="false"/>
          <w:bCs w:val="false"/>
          <w:outline w:val="false"/>
          <w:color w:val="000000"/>
          <w:spacing w:val="0"/>
          <w:kern w:val="0"/>
          <w:sz w:val="22"/>
          <w:szCs w:val="22"/>
          <w:shd w:fill="auto" w:val="clear"/>
          <w:lang w:val="cs-CZ" w:eastAsia="cs-CZ" w:bidi="ar-SA"/>
        </w:rPr>
        <w:t>…………….</w:t>
      </w:r>
      <w:r>
        <w:rPr>
          <w:rFonts w:eastAsia="Times New Roman" w:cs="Arial"/>
          <w:b w:val="false"/>
          <w:bCs w:val="false"/>
          <w:color w:val="000000"/>
          <w:kern w:val="2"/>
          <w:sz w:val="22"/>
          <w:szCs w:val="22"/>
          <w:shd w:fill="auto" w:val="clear"/>
          <w:lang w:val="cs-CZ" w:eastAsia="cs-CZ" w:bidi="ar-SA"/>
        </w:rPr>
        <w:t xml:space="preserve">, </w:t>
      </w:r>
      <w:r>
        <w:rPr>
          <w:rFonts w:eastAsia="Times New Roman" w:cs="Times New Roman"/>
          <w:b w:val="false"/>
          <w:bCs w:val="false"/>
          <w:color w:val="000000"/>
          <w:kern w:val="2"/>
          <w:sz w:val="22"/>
          <w:szCs w:val="22"/>
          <w:shd w:fill="auto" w:val="clear"/>
          <w:lang w:val="cs-CZ" w:eastAsia="cs-CZ" w:bidi="ar-SA"/>
        </w:rPr>
        <w:t xml:space="preserve">na adrese </w:t>
      </w:r>
      <w:r>
        <w:rPr>
          <w:rFonts w:eastAsia="Calibri" w:cs="Arial"/>
          <w:b w:val="false"/>
          <w:bCs w:val="false"/>
          <w:color w:val="000000"/>
          <w:kern w:val="2"/>
          <w:sz w:val="22"/>
          <w:szCs w:val="22"/>
          <w:shd w:fill="auto" w:val="clear"/>
          <w:lang w:val="cs-CZ" w:eastAsia="en-US" w:bidi="ar-SA"/>
        </w:rPr>
        <w:t xml:space="preserve"> …………….…………………………………</w:t>
      </w:r>
      <w:r>
        <w:rPr>
          <w:rFonts w:eastAsia="Calibri" w:cs="Calibri"/>
          <w:b w:val="false"/>
          <w:bCs w:val="false"/>
          <w:color w:val="000000"/>
          <w:kern w:val="2"/>
          <w:sz w:val="22"/>
          <w:szCs w:val="22"/>
          <w:shd w:fill="auto" w:val="clear"/>
          <w:lang w:val="cs-CZ" w:eastAsia="en-US" w:bidi="ar-SA"/>
        </w:rPr>
        <w:t>.</w:t>
      </w:r>
      <w:r>
        <w:rPr>
          <w:rFonts w:eastAsia="Times New Roman" w:cs="Times New Roman"/>
          <w:b w:val="false"/>
          <w:bCs w:val="false"/>
          <w:color w:val="000000"/>
          <w:kern w:val="2"/>
          <w:sz w:val="22"/>
          <w:szCs w:val="22"/>
          <w:shd w:fill="auto" w:val="clear"/>
          <w:lang w:val="cs-CZ" w:eastAsia="cs-CZ" w:bidi="ar-SA"/>
        </w:rPr>
        <w:t>, na pozemku parc.č.</w:t>
      </w:r>
      <w:r>
        <w:rPr>
          <w:rFonts w:eastAsia="Calibri" w:cs="Calibri"/>
          <w:b w:val="false"/>
          <w:bCs w:val="false"/>
          <w:color w:val="2A6099"/>
          <w:kern w:val="2"/>
          <w:sz w:val="22"/>
          <w:szCs w:val="22"/>
          <w:shd w:fill="auto" w:val="clear"/>
          <w:lang w:val="cs-CZ" w:eastAsia="en-US" w:bidi="ar-SA"/>
        </w:rPr>
        <w:t>st.</w:t>
      </w:r>
      <w:r>
        <w:rPr>
          <w:rFonts w:eastAsia="Times New Roman" w:cs="Times New Roman"/>
          <w:b w:val="false"/>
          <w:bCs w:val="false"/>
          <w:color w:val="000000"/>
          <w:kern w:val="2"/>
          <w:sz w:val="22"/>
          <w:szCs w:val="22"/>
          <w:shd w:fill="auto" w:val="clear"/>
          <w:lang w:val="cs-CZ" w:eastAsia="cs-CZ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cs-CZ" w:eastAsia="cs-CZ" w:bidi="ar-SA"/>
        </w:rPr>
        <w:t>……….</w:t>
      </w:r>
      <w:r>
        <w:rPr>
          <w:rFonts w:eastAsia="Times New Roman" w:cs="Times New Roman"/>
          <w:b w:val="false"/>
          <w:bCs w:val="false"/>
          <w:color w:val="000000"/>
          <w:kern w:val="2"/>
          <w:sz w:val="22"/>
          <w:szCs w:val="22"/>
          <w:shd w:fill="auto" w:val="clear"/>
          <w:lang w:val="cs-CZ" w:eastAsia="cs-CZ" w:bidi="ar-SA"/>
        </w:rPr>
        <w:t xml:space="preserve">, katastrální území ………………., obec </w:t>
      </w:r>
      <w:r>
        <w:rPr>
          <w:rFonts w:eastAsia="Calibri" w:cs="Calibri"/>
          <w:b w:val="false"/>
          <w:bCs w:val="false"/>
          <w:color w:val="00000A"/>
          <w:kern w:val="2"/>
          <w:sz w:val="22"/>
          <w:szCs w:val="22"/>
          <w:shd w:fill="auto" w:val="clear"/>
          <w:lang w:val="cs-CZ" w:eastAsia="en-US" w:bidi="ar-SA"/>
        </w:rPr>
        <w:t>Ostrava</w:t>
      </w:r>
      <w:r>
        <w:rPr>
          <w:rFonts w:eastAsia="Times New Roman" w:cs="Times New Roman"/>
          <w:b w:val="false"/>
          <w:bCs w:val="false"/>
          <w:color w:val="000000"/>
          <w:kern w:val="2"/>
          <w:sz w:val="22"/>
          <w:szCs w:val="22"/>
          <w:shd w:fill="auto" w:val="clear"/>
          <w:lang w:val="cs-CZ" w:eastAsia="cs-CZ" w:bidi="ar-SA"/>
        </w:rPr>
        <w:t xml:space="preserve">, část obce ……… </w:t>
      </w:r>
      <w:r>
        <w:rPr>
          <w:rFonts w:eastAsia="Times New Roman" w:cs="Arial"/>
          <w:b w:val="false"/>
          <w:bCs w:val="false"/>
          <w:color w:val="000000"/>
          <w:kern w:val="2"/>
          <w:sz w:val="22"/>
          <w:szCs w:val="22"/>
          <w:shd w:fill="auto" w:val="clear"/>
          <w:lang w:val="cs-CZ" w:eastAsia="cs-CZ" w:bidi="ar-SA"/>
        </w:rPr>
        <w:t>(dále jen „byt</w:t>
      </w:r>
      <w:r>
        <w:rPr>
          <w:rFonts w:eastAsia="Times New Roman" w:cs="Arial"/>
          <w:b w:val="false"/>
          <w:bCs w:val="false"/>
          <w:i/>
          <w:color w:val="000000"/>
          <w:kern w:val="2"/>
          <w:sz w:val="22"/>
          <w:szCs w:val="22"/>
          <w:shd w:fill="auto" w:val="clear"/>
          <w:lang w:val="cs-CZ" w:eastAsia="cs-CZ" w:bidi="ar-SA"/>
        </w:rPr>
        <w:t>“</w:t>
      </w:r>
      <w:r>
        <w:rPr>
          <w:rFonts w:eastAsia="Times New Roman" w:cs="Arial"/>
          <w:b w:val="false"/>
          <w:bCs w:val="false"/>
          <w:color w:val="000000"/>
          <w:kern w:val="2"/>
          <w:sz w:val="22"/>
          <w:szCs w:val="22"/>
          <w:shd w:fill="auto" w:val="clear"/>
          <w:lang w:val="cs-CZ" w:eastAsia="cs-CZ" w:bidi="ar-SA"/>
        </w:rPr>
        <w:t xml:space="preserve">), </w:t>
      </w:r>
      <w:r>
        <w:rPr>
          <w:rFonts w:eastAsia="Calibri" w:cs="Calibri"/>
          <w:b w:val="false"/>
          <w:bCs w:val="false"/>
          <w:color w:val="00000A"/>
          <w:kern w:val="2"/>
          <w:sz w:val="22"/>
          <w:szCs w:val="22"/>
          <w:shd w:fill="auto" w:val="clear"/>
          <w:lang w:val="cs-CZ" w:eastAsia="cs-CZ" w:bidi="ar-SA"/>
        </w:rPr>
        <w:t>prohla</w:t>
      </w:r>
      <w:r>
        <w:rPr>
          <w:rFonts w:eastAsia="Calibri" w:cs="Calibri"/>
          <w:b w:val="false"/>
          <w:bCs w:val="false"/>
          <w:color w:val="00000A"/>
          <w:kern w:val="2"/>
          <w:sz w:val="22"/>
          <w:szCs w:val="22"/>
          <w:shd w:fill="auto" w:val="clear"/>
          <w:lang w:val="cs-CZ" w:eastAsia="en-US" w:bidi="ar-SA"/>
        </w:rPr>
        <w:t>šuj</w:t>
      </w:r>
      <w:r>
        <w:rPr>
          <w:rFonts w:eastAsia="Calibri" w:cs="Calibri"/>
          <w:b w:val="false"/>
          <w:bCs w:val="false"/>
          <w:color w:val="5983B0"/>
          <w:kern w:val="2"/>
          <w:sz w:val="22"/>
          <w:szCs w:val="22"/>
          <w:shd w:fill="auto" w:val="clear"/>
          <w:lang w:val="cs-CZ" w:eastAsia="en-US" w:bidi="ar-SA"/>
        </w:rPr>
        <w:t>i/eme</w:t>
      </w:r>
      <w:r>
        <w:rPr>
          <w:rFonts w:eastAsia="Calibri" w:cs="Calibri"/>
          <w:b w:val="false"/>
          <w:bCs w:val="false"/>
          <w:color w:val="00000A"/>
          <w:kern w:val="2"/>
          <w:sz w:val="22"/>
          <w:szCs w:val="22"/>
          <w:shd w:fill="auto" w:val="clear"/>
          <w:lang w:val="cs-CZ" w:eastAsia="en-US" w:bidi="ar-SA"/>
        </w:rPr>
        <w:t>, že tento byt obývá domácnost, která splňuje podmínku pro</w:t>
      </w:r>
      <w:r>
        <w:rPr>
          <w:rFonts w:eastAsia="Calibri" w:cs="Calibri"/>
          <w:b w:val="false"/>
          <w:bCs w:val="false"/>
          <w:color w:val="000000"/>
          <w:kern w:val="2"/>
          <w:sz w:val="22"/>
          <w:szCs w:val="22"/>
          <w:shd w:fill="auto" w:val="clear"/>
          <w:lang w:val="cs-CZ" w:eastAsia="cs-CZ" w:bidi="ar-SA"/>
        </w:rPr>
        <w:t xml:space="preserve"> přijetí dotace spočívající v tom, že</w:t>
      </w:r>
      <w:r>
        <w:rPr>
          <w:rFonts w:cs="Calibri"/>
          <w:b w:val="false"/>
          <w:bCs w:val="false"/>
          <w:sz w:val="22"/>
          <w:szCs w:val="22"/>
        </w:rPr>
        <w:t xml:space="preserve"> </w:t>
      </w:r>
      <w:r>
        <w:rPr>
          <w:rFonts w:eastAsia="Calibri"/>
          <w:color w:val="auto"/>
          <w:sz w:val="22"/>
        </w:rPr>
        <w:t>v období mezi 12. 9. 2022 a dnem podání žádosti o podporu pobíral některý ze členů domácnosti příspěvek na bydlení v bytové jednotce</w:t>
      </w:r>
      <w:r>
        <w:rPr>
          <w:rFonts w:eastAsia="Calibri"/>
          <w:b w:val="false"/>
          <w:bCs w:val="false"/>
          <w:color w:val="auto"/>
          <w:sz w:val="22"/>
          <w:szCs w:val="22"/>
        </w:rPr>
        <w:t>.</w:t>
      </w:r>
    </w:p>
    <w:p>
      <w:pPr>
        <w:pStyle w:val="NormalWeb"/>
        <w:bidi w:val="0"/>
        <w:spacing w:lineRule="atLeast" w:line="100" w:before="223" w:after="223"/>
        <w:ind w:hanging="0" w:left="0" w:right="0"/>
        <w:jc w:val="both"/>
        <w:rPr>
          <w:rFonts w:ascii="Calibri" w:hAnsi="Calibri"/>
        </w:rPr>
      </w:pPr>
      <w:r>
        <w:rPr/>
      </w:r>
    </w:p>
    <w:p>
      <w:pPr>
        <w:pStyle w:val="NormalWeb"/>
        <w:bidi w:val="0"/>
        <w:spacing w:lineRule="atLeast" w:line="100" w:before="223" w:after="223"/>
        <w:ind w:hanging="0" w:left="0" w:right="0"/>
        <w:jc w:val="both"/>
        <w:rPr>
          <w:rFonts w:ascii="Calibri" w:hAnsi="Calibri"/>
        </w:rPr>
      </w:pPr>
      <w:r>
        <w:rPr>
          <w:rFonts w:eastAsia="Calibri" w:cs="Calibri"/>
          <w:color w:val="auto"/>
          <w:sz w:val="22"/>
          <w:szCs w:val="22"/>
        </w:rPr>
        <w:t>Zároveň prohlašuji, že jako člen</w:t>
      </w:r>
      <w:r>
        <w:rPr>
          <w:rFonts w:eastAsia="Calibri" w:cs="Calibri"/>
          <w:color w:val="2A6099"/>
          <w:sz w:val="22"/>
          <w:szCs w:val="22"/>
        </w:rPr>
        <w:t>/ové</w:t>
      </w:r>
      <w:r>
        <w:rPr>
          <w:rFonts w:eastAsia="Calibri" w:cs="Calibri"/>
          <w:color w:val="auto"/>
          <w:sz w:val="22"/>
          <w:szCs w:val="22"/>
        </w:rPr>
        <w:t xml:space="preserve"> Stavebního bytového družstva Vítkovice, IČ 00050806, se sídlem </w:t>
      </w:r>
      <w:r>
        <w:rPr>
          <w:rFonts w:eastAsia="Calibri" w:cs="Calibri"/>
          <w:outline w:val="false"/>
          <w:color w:val="262626"/>
          <w:spacing w:val="0"/>
          <w:kern w:val="0"/>
          <w:sz w:val="22"/>
          <w:szCs w:val="22"/>
        </w:rPr>
        <w:t>Daliborova 390/54, Mariánské Hory, 709 00 Ostrava</w:t>
      </w:r>
      <w:r>
        <w:rPr>
          <w:rFonts w:eastAsia="Calibri" w:cs="Calibri"/>
          <w:color w:val="auto"/>
          <w:sz w:val="22"/>
          <w:szCs w:val="22"/>
        </w:rPr>
        <w:t xml:space="preserve"> (dále jen „SBD“), přebírám</w:t>
      </w:r>
      <w:r>
        <w:rPr>
          <w:rFonts w:eastAsia="Calibri" w:cs="Calibri"/>
          <w:color w:val="3465A4"/>
          <w:sz w:val="22"/>
          <w:szCs w:val="22"/>
        </w:rPr>
        <w:t>/e</w:t>
      </w:r>
      <w:r>
        <w:rPr>
          <w:rFonts w:eastAsia="Calibri" w:cs="Calibri"/>
          <w:color w:val="auto"/>
          <w:sz w:val="22"/>
          <w:szCs w:val="22"/>
        </w:rPr>
        <w:t xml:space="preserve"> veškerou odpovědnost za údaje uvedené o domácnosti pro účely žádosti o poskytn</w:t>
      </w:r>
      <w:r>
        <w:rPr>
          <w:rFonts w:eastAsia="Calibri" w:cs="Calibri"/>
          <w:color w:val="auto"/>
          <w:sz w:val="22"/>
        </w:rPr>
        <w:t>utí dotace. Bude-li SBD povinno přijatou dotaci na domácnost následně vrátit, zavazuji</w:t>
      </w:r>
      <w:r>
        <w:rPr>
          <w:rFonts w:eastAsia="Calibri" w:cs="Calibri"/>
          <w:color w:val="3465A4"/>
          <w:sz w:val="22"/>
        </w:rPr>
        <w:t>/eme</w:t>
      </w:r>
      <w:r>
        <w:rPr>
          <w:rFonts w:eastAsia="Calibri" w:cs="Calibri"/>
          <w:color w:val="auto"/>
          <w:sz w:val="22"/>
        </w:rPr>
        <w:t xml:space="preserve"> se zaplatit SBD částku rovnající se přijaté dotaci a zároveň nahradit vzniklou škodu.</w:t>
      </w:r>
    </w:p>
    <w:p>
      <w:pPr>
        <w:pStyle w:val="NormalWeb"/>
        <w:bidi w:val="0"/>
        <w:spacing w:lineRule="atLeast" w:line="100" w:before="223" w:after="223"/>
        <w:ind w:hanging="0" w:left="0" w:right="0"/>
        <w:jc w:val="both"/>
        <w:rPr>
          <w:rFonts w:ascii="Calibri" w:hAnsi="Calibri"/>
        </w:rPr>
      </w:pPr>
      <w:r>
        <w:rPr/>
      </w:r>
    </w:p>
    <w:p>
      <w:pPr>
        <w:pStyle w:val="Normal"/>
        <w:overflowPunct w:val="true"/>
        <w:bidi w:val="0"/>
        <w:spacing w:lineRule="atLeast" w:line="100" w:before="0" w:after="0"/>
        <w:jc w:val="left"/>
        <w:rPr>
          <w:rFonts w:ascii="Calibri" w:hAnsi="Calibri"/>
        </w:rPr>
      </w:pPr>
      <w:r>
        <w:rPr>
          <w:sz w:val="22"/>
          <w:szCs w:val="22"/>
          <w:lang w:eastAsia="cs-CZ"/>
        </w:rPr>
        <w:t xml:space="preserve">V Ostravě dne </w:t>
      </w:r>
    </w:p>
    <w:p>
      <w:pPr>
        <w:pStyle w:val="Normal"/>
        <w:overflowPunct w:val="true"/>
        <w:bidi w:val="0"/>
        <w:spacing w:lineRule="atLeast" w:line="100" w:before="0" w:after="0"/>
        <w:jc w:val="left"/>
        <w:rPr>
          <w:rFonts w:ascii="Calibri" w:hAnsi="Calibri"/>
        </w:rPr>
      </w:pPr>
      <w:r>
        <w:rPr/>
      </w:r>
    </w:p>
    <w:p>
      <w:pPr>
        <w:pStyle w:val="Normal"/>
        <w:overflowPunct w:val="true"/>
        <w:bidi w:val="0"/>
        <w:spacing w:lineRule="atLeast" w:line="100" w:before="0" w:after="0"/>
        <w:ind w:hanging="0" w:left="720" w:right="0"/>
        <w:jc w:val="center"/>
        <w:rPr>
          <w:rFonts w:ascii="Calibri" w:hAnsi="Calibri"/>
        </w:rPr>
      </w:pPr>
      <w:r>
        <w:rPr/>
      </w:r>
    </w:p>
    <w:p>
      <w:pPr>
        <w:pStyle w:val="Normal"/>
        <w:overflowPunct w:val="true"/>
        <w:bidi w:val="0"/>
        <w:spacing w:lineRule="atLeast" w:line="100" w:before="0" w:after="0"/>
        <w:ind w:hanging="0" w:left="720" w:right="0"/>
        <w:jc w:val="center"/>
        <w:rPr>
          <w:rFonts w:ascii="Calibri" w:hAnsi="Calibri"/>
        </w:rPr>
      </w:pPr>
      <w:r>
        <w:rPr/>
      </w:r>
    </w:p>
    <w:p>
      <w:pPr>
        <w:pStyle w:val="Normal"/>
        <w:overflowPunct w:val="true"/>
        <w:bidi w:val="0"/>
        <w:spacing w:lineRule="atLeast" w:line="100" w:before="0" w:after="0"/>
        <w:ind w:hanging="0" w:left="720" w:right="0"/>
        <w:jc w:val="center"/>
        <w:rPr>
          <w:rFonts w:ascii="Calibri" w:hAnsi="Calibri"/>
        </w:rPr>
      </w:pPr>
      <w:r>
        <w:rPr/>
      </w:r>
    </w:p>
    <w:p>
      <w:pPr>
        <w:pStyle w:val="Normal"/>
        <w:overflowPunct w:val="true"/>
        <w:bidi w:val="0"/>
        <w:spacing w:lineRule="atLeast" w:line="100" w:before="0" w:after="0"/>
        <w:ind w:hanging="0" w:left="720" w:right="0"/>
        <w:jc w:val="center"/>
        <w:rPr>
          <w:rFonts w:ascii="Calibri" w:hAnsi="Calibri"/>
        </w:rPr>
      </w:pPr>
      <w:r>
        <w:rPr>
          <w:sz w:val="22"/>
          <w:szCs w:val="22"/>
          <w:lang w:eastAsia="cs-CZ"/>
        </w:rPr>
        <w:t>...................................................................</w:t>
      </w:r>
    </w:p>
    <w:p>
      <w:pPr>
        <w:pStyle w:val="Normal"/>
        <w:bidi w:val="0"/>
        <w:spacing w:lineRule="atLeast" w:line="100" w:before="0" w:after="0"/>
        <w:jc w:val="center"/>
        <w:rPr>
          <w:b w:val="false"/>
          <w:bCs w:val="false"/>
        </w:rPr>
      </w:pPr>
      <w:r>
        <w:rPr>
          <w:rFonts w:eastAsia="Calibri" w:cs="Times New Roman"/>
          <w:b w:val="false"/>
          <w:bCs w:val="false"/>
          <w:color w:val="00000A"/>
          <w:kern w:val="2"/>
          <w:sz w:val="22"/>
          <w:szCs w:val="22"/>
          <w:lang w:val="cs-CZ" w:eastAsia="cs-CZ" w:bidi="ar-SA"/>
        </w:rPr>
        <w:tab/>
      </w:r>
      <w:r>
        <w:rPr>
          <w:rFonts w:eastAsia="Calibri" w:cs="Times New Roman"/>
          <w:b w:val="false"/>
          <w:bCs w:val="false"/>
          <w:color w:val="00000A"/>
          <w:kern w:val="2"/>
          <w:sz w:val="22"/>
          <w:szCs w:val="22"/>
          <w:shd w:fill="FFFF00" w:val="clear"/>
          <w:lang w:val="cs-CZ" w:eastAsia="cs-CZ" w:bidi="ar-SA"/>
        </w:rPr>
        <w:t>……………………..</w:t>
      </w:r>
    </w:p>
    <w:p>
      <w:pPr>
        <w:pStyle w:val="Normal"/>
        <w:bidi w:val="0"/>
        <w:spacing w:lineRule="atLeast" w:line="100" w:before="0" w:after="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spacing w:lineRule="atLeast" w:line="100" w:before="0" w:after="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spacing w:lineRule="atLeast" w:line="100" w:before="0" w:after="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spacing w:lineRule="atLeast" w:line="100" w:before="0" w:after="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overflowPunct w:val="true"/>
        <w:bidi w:val="0"/>
        <w:spacing w:lineRule="atLeast" w:line="100" w:before="0" w:after="0"/>
        <w:ind w:hanging="0" w:left="720" w:right="0"/>
        <w:jc w:val="center"/>
        <w:rPr>
          <w:color w:val="5983B0"/>
        </w:rPr>
      </w:pPr>
      <w:r>
        <w:rPr>
          <w:color w:val="5983B0"/>
          <w:sz w:val="22"/>
          <w:szCs w:val="22"/>
          <w:lang w:eastAsia="cs-CZ"/>
        </w:rPr>
        <w:t>...................................................................</w:t>
      </w:r>
    </w:p>
    <w:p>
      <w:pPr>
        <w:pStyle w:val="Normal"/>
        <w:bidi w:val="0"/>
        <w:spacing w:lineRule="atLeast" w:line="100" w:before="0" w:after="0"/>
        <w:jc w:val="center"/>
        <w:rPr>
          <w:color w:val="5983B0"/>
        </w:rPr>
      </w:pPr>
      <w:r>
        <w:rPr>
          <w:rFonts w:eastAsia="Calibri" w:cs="Times New Roman"/>
          <w:b w:val="false"/>
          <w:bCs w:val="false"/>
          <w:color w:val="5983B0"/>
          <w:kern w:val="2"/>
          <w:sz w:val="22"/>
          <w:szCs w:val="22"/>
          <w:shd w:fill="auto" w:val="clear"/>
          <w:lang w:val="cs-CZ" w:eastAsia="cs-CZ" w:bidi="ar-SA"/>
        </w:rPr>
        <w:tab/>
      </w:r>
      <w:r>
        <w:rPr>
          <w:rFonts w:eastAsia="Calibri" w:cs="Times New Roman"/>
          <w:b w:val="false"/>
          <w:bCs w:val="false"/>
          <w:color w:val="5983B0"/>
          <w:kern w:val="2"/>
          <w:sz w:val="22"/>
          <w:szCs w:val="22"/>
          <w:shd w:fill="FFFF00" w:val="clear"/>
          <w:lang w:val="cs-CZ" w:eastAsia="cs-CZ" w:bidi="ar-SA"/>
        </w:rPr>
        <w:t>……………………..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5"/>
  <w:defaultTabStop w:val="709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kern w:val="2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2"/>
      <w:sz w:val="22"/>
      <w:szCs w:val="22"/>
      <w:lang w:val="cs-CZ" w:eastAsia="en-US" w:bidi="ar-SA"/>
    </w:rPr>
  </w:style>
  <w:style w:type="character" w:styleId="DefaultParagraphFont">
    <w:name w:val="Default Paragraph Font"/>
    <w:qFormat/>
    <w:rPr/>
  </w:style>
  <w:style w:type="character" w:styleId="Symbolyproslovn">
    <w:name w:val="Symboly pro číslování"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NormalTable">
    <w:name w:val="Normal Table"/>
    <w:qFormat/>
    <w:pPr>
      <w:widowControl/>
      <w:suppressAutoHyphens w:val="true"/>
      <w:bidi w:val="0"/>
      <w:spacing w:lineRule="auto" w:line="252" w:before="0" w:after="160"/>
      <w:jc w:val="left"/>
      <w:textAlignment w:val="auto"/>
    </w:pPr>
    <w:rPr>
      <w:rFonts w:ascii="Calibri" w:hAnsi="Calibri" w:eastAsia="Calibri" w:cs="Times New Roman"/>
      <w:color w:val="auto"/>
      <w:kern w:val="2"/>
      <w:sz w:val="22"/>
      <w:szCs w:val="22"/>
      <w:lang w:val="cs-CZ" w:eastAsia="en-US" w:bidi="ar-SA"/>
    </w:rPr>
  </w:style>
  <w:style w:type="paragraph" w:styleId="NormalWeb">
    <w:name w:val="Normal (Web)"/>
    <w:basedOn w:val="Normal"/>
    <w:qFormat/>
    <w:pPr>
      <w:spacing w:beforeAutospacing="1" w:afterAutospacing="1"/>
    </w:pPr>
    <w:rPr/>
  </w:style>
  <w:style w:type="paragraph" w:styleId="TableSimple1">
    <w:name w:val="Table Simple 1"/>
    <w:basedOn w:val="NormalTable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144</TotalTime>
  <Application>LibreOffice/7.6.2.1$Windows_X86_64 LibreOffice_project/56f7684011345957bbf33a7ee678afaf4d2ba333</Application>
  <AppVersion>15.0000</AppVersion>
  <Pages>1</Pages>
  <Words>175</Words>
  <Characters>1155</Characters>
  <CharactersWithSpaces>1327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2014-06-10T13:26:00Z</dcterms:created>
  <dc:creator>Petra Luzarová</dc:creator>
  <dc:description/>
  <dc:language>cs-CZ</dc:language>
  <cp:lastModifiedBy/>
  <cp:lastPrinted>2024-11-25T10:21:41Z</cp:lastPrinted>
  <dcterms:modified xsi:type="dcterms:W3CDTF">2025-04-14T07:32:32Z</dcterms:modified>
  <cp:revision>53</cp:revision>
  <dc:subject/>
  <dc:title>Rozhodnutí společníka při výkonu působnosti valné hromady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